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DA" w:rsidRPr="00767CDA" w:rsidRDefault="00767CDA" w:rsidP="00781EA1">
      <w:pPr>
        <w:pStyle w:val="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ΠΡΟΣΘΕΤΟ ΤΕΧΝΙΚΩΝ ΠΡΟΔΙΑΓΡΑΦΩΝ</w:t>
      </w:r>
    </w:p>
    <w:p w:rsidR="00767CDA" w:rsidRPr="00006071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071">
        <w:rPr>
          <w:rFonts w:asciiTheme="minorHAnsi" w:hAnsiTheme="minorHAnsi" w:cstheme="minorHAnsi"/>
          <w:b/>
          <w:sz w:val="22"/>
          <w:szCs w:val="22"/>
        </w:rPr>
        <w:t>ΠΑΡΟΧΗΣ ΥΠΗΡΕΣΙΩΝ ΚΑΘΑΡΙΟΤΗΤΑΣ ΓΙΑ ΤΟ ΕΤΟΣ 2026</w:t>
      </w:r>
    </w:p>
    <w:p w:rsidR="00767CDA" w:rsidRPr="00767CDA" w:rsidRDefault="00767CDA" w:rsidP="00781EA1">
      <w:pPr>
        <w:pStyle w:val="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(Συμπληρωματικό των Τεχνικών Προδιαγραφών που εγκρίθηκαν με την υπ’ </w:t>
      </w:r>
      <w:proofErr w:type="spellStart"/>
      <w:r w:rsidRPr="00767CD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767CDA">
        <w:rPr>
          <w:rFonts w:asciiTheme="minorHAnsi" w:hAnsiTheme="minorHAnsi" w:cstheme="minorHAnsi"/>
          <w:sz w:val="22"/>
          <w:szCs w:val="22"/>
        </w:rPr>
        <w:t>. 313/27-04-2023 Απόφαση Δ.Σ.)</w:t>
      </w:r>
    </w:p>
    <w:p w:rsidR="00767CDA" w:rsidRPr="00767CDA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767CDA">
        <w:rPr>
          <w:rFonts w:asciiTheme="minorHAnsi" w:hAnsiTheme="minorHAnsi" w:cstheme="minorHAnsi"/>
          <w:color w:val="auto"/>
        </w:rPr>
        <w:t>Άρθρο 1</w:t>
      </w:r>
    </w:p>
    <w:p w:rsidR="00767CDA" w:rsidRPr="00767CDA" w:rsidRDefault="00006071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Αντικείμενο Προσθέτου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Το παρόν πρόσθετο εκδίδεται για το έτος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2026</w:t>
      </w:r>
      <w:r w:rsidRPr="00767CDA">
        <w:rPr>
          <w:rFonts w:asciiTheme="minorHAnsi" w:hAnsiTheme="minorHAnsi" w:cstheme="minorHAnsi"/>
          <w:sz w:val="22"/>
          <w:szCs w:val="22"/>
        </w:rPr>
        <w:t xml:space="preserve"> και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συμπληρώνει</w:t>
      </w:r>
      <w:r w:rsidRPr="00767CDA">
        <w:rPr>
          <w:rFonts w:asciiTheme="minorHAnsi" w:hAnsiTheme="minorHAnsi" w:cstheme="minorHAnsi"/>
          <w:sz w:val="22"/>
          <w:szCs w:val="22"/>
        </w:rPr>
        <w:t xml:space="preserve"> τις τεχνικές προδιαγραφές παροχής υπηρεσιών καθαριότητας που εγκρίθηκαν με την υπ’ </w:t>
      </w:r>
      <w:proofErr w:type="spellStart"/>
      <w:r w:rsidRPr="00767CD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767CDA">
        <w:rPr>
          <w:rFonts w:asciiTheme="minorHAnsi" w:hAnsiTheme="minorHAnsi" w:cstheme="minorHAnsi"/>
          <w:sz w:val="22"/>
          <w:szCs w:val="22"/>
        </w:rPr>
        <w:t xml:space="preserve">.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313/27-04-2023</w:t>
      </w:r>
      <w:r w:rsidRPr="00767CDA">
        <w:rPr>
          <w:rFonts w:asciiTheme="minorHAnsi" w:hAnsiTheme="minorHAnsi" w:cstheme="minorHAnsi"/>
          <w:sz w:val="22"/>
          <w:szCs w:val="22"/>
        </w:rPr>
        <w:t xml:space="preserve"> Απόφαση του Διοικητικού Συμβουλίου.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Όλοι οι όροι των τεχνικών προδιαγραφών του έτους 2023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παραμένουν σε πλήρη ισχύ</w:t>
      </w:r>
      <w:r w:rsidRPr="00767CDA">
        <w:rPr>
          <w:rFonts w:asciiTheme="minorHAnsi" w:hAnsiTheme="minorHAnsi" w:cstheme="minorHAnsi"/>
          <w:sz w:val="22"/>
          <w:szCs w:val="22"/>
        </w:rPr>
        <w:t>, εκτός εάν ρητά τροποποιούνται ή συμπληρώνονται με το παρόν.</w:t>
      </w:r>
    </w:p>
    <w:p w:rsidR="00767CDA" w:rsidRPr="00767CDA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767CDA">
        <w:rPr>
          <w:rFonts w:asciiTheme="minorHAnsi" w:hAnsiTheme="minorHAnsi" w:cstheme="minorHAnsi"/>
          <w:color w:val="auto"/>
        </w:rPr>
        <w:t>Άρθρο 2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Δι</w:t>
      </w:r>
      <w:r>
        <w:rPr>
          <w:rFonts w:asciiTheme="minorHAnsi" w:hAnsiTheme="minorHAnsi" w:cstheme="minorHAnsi"/>
          <w:sz w:val="22"/>
          <w:szCs w:val="22"/>
        </w:rPr>
        <w:t>άρκεια – Προσωπικό (Έτος 2026)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Για το έτος 2026, η παροχή υπηρεσιών καθαριότητας αφορά χρονικό διάστημα </w:t>
      </w:r>
      <w:r>
        <w:rPr>
          <w:rStyle w:val="a3"/>
          <w:rFonts w:asciiTheme="minorHAnsi" w:eastAsiaTheme="majorEastAsia" w:hAnsiTheme="minorHAnsi" w:cstheme="minorHAnsi"/>
          <w:sz w:val="22"/>
          <w:szCs w:val="22"/>
        </w:rPr>
        <w:t>επτά (4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) μηνών</w:t>
      </w:r>
      <w:r w:rsidRPr="00767CDA">
        <w:rPr>
          <w:rFonts w:asciiTheme="minorHAnsi" w:hAnsiTheme="minorHAnsi" w:cstheme="minorHAnsi"/>
          <w:sz w:val="22"/>
          <w:szCs w:val="22"/>
        </w:rPr>
        <w:t xml:space="preserve"> και εκτελείται με:</w:t>
      </w:r>
    </w:p>
    <w:p w:rsidR="00767CDA" w:rsidRPr="00767CDA" w:rsidRDefault="00767CDA" w:rsidP="00781EA1">
      <w:pPr>
        <w:pStyle w:val="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δύο (2) άτομα προσωπικό καθαριότητας</w:t>
      </w:r>
      <w:r w:rsidRPr="00767CDA">
        <w:rPr>
          <w:rFonts w:asciiTheme="minorHAnsi" w:hAnsiTheme="minorHAnsi" w:cstheme="minorHAnsi"/>
          <w:sz w:val="22"/>
          <w:szCs w:val="22"/>
        </w:rPr>
        <w:t>,</w:t>
      </w:r>
    </w:p>
    <w:p w:rsidR="00767CDA" w:rsidRPr="00767CDA" w:rsidRDefault="00767CDA" w:rsidP="00781EA1">
      <w:pPr>
        <w:pStyle w:val="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με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οκτάωρη ημερήσια απασχόληση</w:t>
      </w:r>
      <w:r w:rsidRPr="00767CDA">
        <w:rPr>
          <w:rFonts w:asciiTheme="minorHAnsi" w:hAnsiTheme="minorHAnsi" w:cstheme="minorHAnsi"/>
          <w:sz w:val="22"/>
          <w:szCs w:val="22"/>
        </w:rPr>
        <w:t>,</w:t>
      </w:r>
    </w:p>
    <w:p w:rsidR="00767CDA" w:rsidRPr="00767CDA" w:rsidRDefault="00767CDA" w:rsidP="00781EA1">
      <w:pPr>
        <w:pStyle w:val="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σαράντα (40) ώρες εβδομαδιαίως.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Σε περίπτωση απουσίας εργαζομένου, ο ανάδοχος υποχρεούται σε άμεση αντικατάσταση, χωρίς πρόσθετη οικονομική επιβάρυνση της Αναθέτουσας Αρχής.</w:t>
      </w:r>
    </w:p>
    <w:p w:rsidR="00767CDA" w:rsidRPr="00B42A9B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B42A9B">
        <w:rPr>
          <w:rFonts w:asciiTheme="minorHAnsi" w:hAnsiTheme="minorHAnsi" w:cstheme="minorHAnsi"/>
          <w:color w:val="auto"/>
        </w:rPr>
        <w:t>Άρθρο 3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Εργατική &amp; Ασφαλιστική Νομοθεσία(Άρθρο 68 Ν.3863/2010 </w:t>
      </w:r>
      <w:r w:rsidR="00006071">
        <w:rPr>
          <w:rFonts w:asciiTheme="minorHAnsi" w:hAnsiTheme="minorHAnsi" w:cstheme="minorHAnsi"/>
          <w:sz w:val="22"/>
          <w:szCs w:val="22"/>
        </w:rPr>
        <w:t>– Άρθρο 92 παρ. 5 Ν.4412/2016)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Κατά παρέκκλιση ή συμπλήρωση των τεχνικών προδιαγραφών του 2023, για το έτος 2026 εφαρμόζονται υποχρεωτικά οι διατάξεις:</w:t>
      </w:r>
    </w:p>
    <w:p w:rsidR="00767CDA" w:rsidRPr="00767CDA" w:rsidRDefault="00767CDA" w:rsidP="00781EA1">
      <w:pPr>
        <w:pStyle w:val="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του άρθρου 68 του Ν. 3863/2010,</w:t>
      </w:r>
    </w:p>
    <w:p w:rsidR="00767CDA" w:rsidRPr="00767CDA" w:rsidRDefault="00767CDA" w:rsidP="00781EA1">
      <w:pPr>
        <w:pStyle w:val="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της παρ. 5 του άρθρου 92 του Ν. 4412/2016.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Ο ανάδοχος υποχρεούται,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επί ποινή αποκλεισμού</w:t>
      </w:r>
      <w:r w:rsidRPr="00767CDA">
        <w:rPr>
          <w:rFonts w:asciiTheme="minorHAnsi" w:hAnsiTheme="minorHAnsi" w:cstheme="minorHAnsi"/>
          <w:sz w:val="22"/>
          <w:szCs w:val="22"/>
        </w:rPr>
        <w:t>, να περιλαμβάνει στην προσφορά του, σε χωριστό κεφάλαιο, τα εξής στοιχεία:</w:t>
      </w:r>
    </w:p>
    <w:p w:rsidR="00B42A9B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α) αριθμό εργαζομένων</w:t>
      </w:r>
    </w:p>
    <w:p w:rsidR="00B42A9B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β) ημέρες και ώρες εργασίας</w:t>
      </w:r>
    </w:p>
    <w:p w:rsidR="00B42A9B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γ) εφαρμοζόμενη συλλογική σύμβαση εργασίας</w:t>
      </w:r>
    </w:p>
    <w:p w:rsidR="00B42A9B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δ) ύψος νόμιμων αποδοχών</w:t>
      </w:r>
    </w:p>
    <w:p w:rsidR="00B42A9B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ε) ύψος ασφαλιστικών εισφορών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lastRenderedPageBreak/>
        <w:t>στ) τετραγωνικά μέτρα καθαρισμού ανά άτομο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Στην προσφορά επισυνάπτεται υποχρεωτικά αντίγραφο της οικείας συλλογικής σύμβασης εργασίας.</w:t>
      </w:r>
    </w:p>
    <w:p w:rsidR="00767CDA" w:rsidRPr="00B42A9B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B42A9B">
        <w:rPr>
          <w:rFonts w:asciiTheme="minorHAnsi" w:hAnsiTheme="minorHAnsi" w:cstheme="minorHAnsi"/>
          <w:color w:val="auto"/>
        </w:rPr>
        <w:t>Άρθρο 4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Έλ</w:t>
      </w:r>
      <w:r w:rsidR="00006071">
        <w:rPr>
          <w:rFonts w:asciiTheme="minorHAnsi" w:hAnsiTheme="minorHAnsi" w:cstheme="minorHAnsi"/>
          <w:sz w:val="22"/>
          <w:szCs w:val="22"/>
        </w:rPr>
        <w:t xml:space="preserve">εγχος Παραβατικότητας Αναδόχου 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Η Αναθέτουσα Αρχή διατηρεί το δικαίωμα ελέγχου παραβατικότητας του αναδόχου μέσω του Σώματος Επιθεώρησης Εργασίας, σύμφωνα με το άρθρο 68 του Ν. 3863/2010.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Αποκλείονται οικονομικοί φορείς στους οποίους έχουν επιβληθεί:</w:t>
      </w:r>
    </w:p>
    <w:p w:rsidR="00767CDA" w:rsidRPr="00767CDA" w:rsidRDefault="00767CDA" w:rsidP="00781EA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τρεις (3) πράξεις προστίμου υψηλής ή πολύ υψηλής σοβαρότητας εντός διετίας ή</w:t>
      </w:r>
    </w:p>
    <w:p w:rsidR="00767CDA" w:rsidRPr="00767CDA" w:rsidRDefault="00767CDA" w:rsidP="00781EA1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δύο (2) πράξεις προστίμου για αδήλωτη εργασία.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Για χρονικό διάστημα που δεν καλύπτεται από το Μητρώο Παραβατών, απαιτείται ένορκη βεβαίωση του νομίμου εκπροσώπου.</w:t>
      </w:r>
    </w:p>
    <w:p w:rsidR="00767CDA" w:rsidRPr="00B42A9B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B42A9B">
        <w:rPr>
          <w:rFonts w:asciiTheme="minorHAnsi" w:hAnsiTheme="minorHAnsi" w:cstheme="minorHAnsi"/>
          <w:color w:val="auto"/>
        </w:rPr>
        <w:t>Άρθρο 5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Δικαιολογητικά Τ</w:t>
      </w:r>
      <w:r w:rsidR="00006071">
        <w:rPr>
          <w:rFonts w:asciiTheme="minorHAnsi" w:hAnsiTheme="minorHAnsi" w:cstheme="minorHAnsi"/>
          <w:sz w:val="22"/>
          <w:szCs w:val="22"/>
        </w:rPr>
        <w:t>μηματικής Πληρωμής (Έτος 2026)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Για την εκκαθάριση και πληρωμή των υπηρεσιών καθαριότητας, ο ανάδοχος υποχρεούται να προσκομίζει:</w:t>
      </w:r>
    </w:p>
    <w:p w:rsidR="00767CDA" w:rsidRPr="00767CDA" w:rsidRDefault="00767CDA" w:rsidP="00781EA1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αποδεικτικά καταβολής μισθοδοσίας του απασχολούμενου προσωπικού,</w:t>
      </w:r>
    </w:p>
    <w:p w:rsidR="00767CDA" w:rsidRPr="00767CDA" w:rsidRDefault="00767CDA" w:rsidP="00781EA1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Αναλυτικές Περιοδικές Δηλώσεις (Α.Π.Δ.),</w:t>
      </w:r>
    </w:p>
    <w:p w:rsidR="00767CDA" w:rsidRPr="00767CDA" w:rsidRDefault="00767CDA" w:rsidP="00781EA1">
      <w:pPr>
        <w:pStyle w:val="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φορολογική και ασφαλιστική ενημερότητα.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>Η μη προσκόμιση των ανωτέρω συνεπάγεται τη μη εκκαθάριση της δαπάνης.</w:t>
      </w:r>
    </w:p>
    <w:p w:rsidR="00767CDA" w:rsidRPr="00B42A9B" w:rsidRDefault="00767CDA" w:rsidP="00781EA1">
      <w:pPr>
        <w:pStyle w:val="3"/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B42A9B">
        <w:rPr>
          <w:rFonts w:asciiTheme="minorHAnsi" w:hAnsiTheme="minorHAnsi" w:cstheme="minorHAnsi"/>
          <w:color w:val="auto"/>
        </w:rPr>
        <w:t>Άρθρο 6</w:t>
      </w:r>
    </w:p>
    <w:p w:rsidR="00767CDA" w:rsidRPr="00767CDA" w:rsidRDefault="00B42A9B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Ισχύς Προσθέτου</w:t>
      </w:r>
    </w:p>
    <w:p w:rsidR="00767CDA" w:rsidRPr="00767CDA" w:rsidRDefault="00767CDA" w:rsidP="00781EA1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CDA">
        <w:rPr>
          <w:rFonts w:asciiTheme="minorHAnsi" w:hAnsiTheme="minorHAnsi" w:cstheme="minorHAnsi"/>
          <w:sz w:val="22"/>
          <w:szCs w:val="22"/>
        </w:rPr>
        <w:t xml:space="preserve">Το παρόν πρόσθετο ισχύει </w:t>
      </w:r>
      <w:r w:rsidRPr="00767CDA">
        <w:rPr>
          <w:rStyle w:val="a3"/>
          <w:rFonts w:asciiTheme="minorHAnsi" w:eastAsiaTheme="majorEastAsia" w:hAnsiTheme="minorHAnsi" w:cstheme="minorHAnsi"/>
          <w:sz w:val="22"/>
          <w:szCs w:val="22"/>
        </w:rPr>
        <w:t>αποκλειστικά για το έτος 2026</w:t>
      </w:r>
      <w:r w:rsidRPr="00767CDA">
        <w:rPr>
          <w:rFonts w:asciiTheme="minorHAnsi" w:hAnsiTheme="minorHAnsi" w:cstheme="minorHAnsi"/>
          <w:sz w:val="22"/>
          <w:szCs w:val="22"/>
        </w:rPr>
        <w:t xml:space="preserve"> και αποτελεί αναπόσπαστο μέρος της διακήρυξης και της σύμβασης παροχής υπηρεσιών καθαριότητας.</w:t>
      </w:r>
    </w:p>
    <w:p w:rsidR="00167772" w:rsidRPr="00767CDA" w:rsidRDefault="00167772" w:rsidP="00781EA1">
      <w:pPr>
        <w:spacing w:after="0" w:line="360" w:lineRule="auto"/>
        <w:jc w:val="both"/>
        <w:rPr>
          <w:rFonts w:cstheme="minorHAnsi"/>
        </w:rPr>
      </w:pPr>
    </w:p>
    <w:sectPr w:rsidR="00167772" w:rsidRPr="00767CDA" w:rsidSect="00116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29"/>
    <w:multiLevelType w:val="multilevel"/>
    <w:tmpl w:val="B80C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B5F86"/>
    <w:multiLevelType w:val="multilevel"/>
    <w:tmpl w:val="CE1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97542"/>
    <w:multiLevelType w:val="multilevel"/>
    <w:tmpl w:val="7A5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55F37"/>
    <w:multiLevelType w:val="multilevel"/>
    <w:tmpl w:val="F3A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F0A02"/>
    <w:multiLevelType w:val="multilevel"/>
    <w:tmpl w:val="318C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C22C7"/>
    <w:multiLevelType w:val="multilevel"/>
    <w:tmpl w:val="E1C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25A68"/>
    <w:multiLevelType w:val="multilevel"/>
    <w:tmpl w:val="43D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517F9"/>
    <w:multiLevelType w:val="multilevel"/>
    <w:tmpl w:val="0876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8006C"/>
    <w:multiLevelType w:val="multilevel"/>
    <w:tmpl w:val="BDD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329D"/>
    <w:rsid w:val="00006071"/>
    <w:rsid w:val="00116BCA"/>
    <w:rsid w:val="00167772"/>
    <w:rsid w:val="003B5DB0"/>
    <w:rsid w:val="00767CDA"/>
    <w:rsid w:val="00781EA1"/>
    <w:rsid w:val="00B42A9B"/>
    <w:rsid w:val="00C8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CA"/>
  </w:style>
  <w:style w:type="paragraph" w:styleId="1">
    <w:name w:val="heading 1"/>
    <w:basedOn w:val="a"/>
    <w:link w:val="1Char"/>
    <w:uiPriority w:val="9"/>
    <w:qFormat/>
    <w:rsid w:val="00C83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83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3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C832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C8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8329D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767CD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Φαϊτού</dc:creator>
  <cp:keywords/>
  <dc:description/>
  <cp:lastModifiedBy>Ελένη Φαϊτού</cp:lastModifiedBy>
  <cp:revision>7</cp:revision>
  <dcterms:created xsi:type="dcterms:W3CDTF">2026-01-29T06:21:00Z</dcterms:created>
  <dcterms:modified xsi:type="dcterms:W3CDTF">2026-01-29T06:33:00Z</dcterms:modified>
</cp:coreProperties>
</file>